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FC" w:rsidRPr="00652317" w:rsidRDefault="00AE78A6" w:rsidP="00652317">
      <w:pPr>
        <w:tabs>
          <w:tab w:val="left" w:pos="8734"/>
        </w:tabs>
        <w:spacing w:line="276" w:lineRule="auto"/>
        <w:ind w:left="118"/>
        <w:jc w:val="center"/>
        <w:rPr>
          <w:rFonts w:ascii="Times New Roman"/>
          <w:noProof/>
          <w:lang w:val="es-MX" w:eastAsia="es-MX"/>
        </w:rPr>
      </w:pPr>
      <w:r w:rsidRPr="00652317">
        <w:rPr>
          <w:rFonts w:ascii="Times New Roman"/>
          <w:noProof/>
          <w:position w:val="1"/>
          <w:lang w:val="es-MX" w:eastAsia="es-MX"/>
        </w:rPr>
        <w:drawing>
          <wp:anchor distT="0" distB="0" distL="114300" distR="114300" simplePos="0" relativeHeight="251656192" behindDoc="0" locked="0" layoutInCell="1" allowOverlap="1" wp14:anchorId="2B24BCF5" wp14:editId="3B71D9B2">
            <wp:simplePos x="0" y="0"/>
            <wp:positionH relativeFrom="column">
              <wp:posOffset>-288925</wp:posOffset>
            </wp:positionH>
            <wp:positionV relativeFrom="page">
              <wp:posOffset>200025</wp:posOffset>
            </wp:positionV>
            <wp:extent cx="773430" cy="1049020"/>
            <wp:effectExtent l="0" t="0" r="7620" b="0"/>
            <wp:wrapNone/>
            <wp:docPr id="1" name="image1.png" descr="https://www.legisver.gob.mx/img/logoLX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B58" w:rsidRPr="00652317">
        <w:rPr>
          <w:rFonts w:ascii="Arial" w:hAnsi="Arial" w:cs="Arial"/>
          <w:b/>
        </w:rPr>
        <w:t>SÍNTESIS</w:t>
      </w:r>
    </w:p>
    <w:p w:rsidR="009C0A06" w:rsidRPr="00652317" w:rsidRDefault="009C0A06" w:rsidP="00652317">
      <w:pPr>
        <w:pStyle w:val="Puesto"/>
        <w:spacing w:after="240" w:line="276" w:lineRule="auto"/>
        <w:ind w:left="567" w:right="842" w:firstLine="567"/>
        <w:jc w:val="center"/>
        <w:rPr>
          <w:sz w:val="22"/>
          <w:szCs w:val="22"/>
        </w:rPr>
      </w:pPr>
      <w:r w:rsidRPr="00652317">
        <w:rPr>
          <w:sz w:val="22"/>
          <w:szCs w:val="22"/>
        </w:rPr>
        <w:t>ACCIÓN DE INCONSTITUCIONALIDAD 144/2020 Y SU ACUMULADA 185/2020</w:t>
      </w:r>
    </w:p>
    <w:p w:rsidR="00FB391C" w:rsidRPr="00652317" w:rsidRDefault="00FB391C" w:rsidP="00652317">
      <w:pPr>
        <w:pStyle w:val="Puesto"/>
        <w:spacing w:after="240" w:line="276" w:lineRule="auto"/>
        <w:ind w:left="567" w:right="842" w:firstLine="567"/>
        <w:jc w:val="center"/>
        <w:rPr>
          <w:sz w:val="22"/>
          <w:szCs w:val="22"/>
        </w:rPr>
      </w:pPr>
      <w:r w:rsidRPr="00652317">
        <w:rPr>
          <w:sz w:val="22"/>
          <w:szCs w:val="22"/>
        </w:rPr>
        <w:t>“SCJN declaró la invalidez de diversas porciones normativas del Código Civil para el Estado de Veracruz de Ignacio de la Llave, reformados mediante el Decreto número 569”</w:t>
      </w:r>
    </w:p>
    <w:p w:rsidR="005E269C" w:rsidRPr="00652317" w:rsidRDefault="00700EED" w:rsidP="00652317">
      <w:pPr>
        <w:pStyle w:val="Puesto"/>
        <w:spacing w:after="240" w:line="276" w:lineRule="auto"/>
        <w:ind w:left="142" w:firstLine="0"/>
        <w:rPr>
          <w:sz w:val="22"/>
          <w:szCs w:val="22"/>
        </w:rPr>
      </w:pPr>
      <w:r w:rsidRPr="00652317">
        <w:rPr>
          <w:sz w:val="22"/>
          <w:szCs w:val="22"/>
        </w:rPr>
        <w:t>Antecedentes</w:t>
      </w:r>
      <w:r w:rsidR="009F0202">
        <w:rPr>
          <w:sz w:val="22"/>
          <w:szCs w:val="22"/>
        </w:rPr>
        <w:t>.</w:t>
      </w:r>
    </w:p>
    <w:p w:rsidR="006D1EBE" w:rsidRPr="00652317" w:rsidRDefault="00544DF5" w:rsidP="00652317">
      <w:pPr>
        <w:pStyle w:val="Puesto"/>
        <w:spacing w:after="240" w:line="276" w:lineRule="auto"/>
        <w:ind w:left="142" w:right="134" w:firstLine="0"/>
        <w:jc w:val="both"/>
        <w:rPr>
          <w:b w:val="0"/>
          <w:sz w:val="22"/>
          <w:szCs w:val="22"/>
        </w:rPr>
      </w:pPr>
      <w:r w:rsidRPr="00652317">
        <w:rPr>
          <w:b w:val="0"/>
          <w:sz w:val="22"/>
          <w:szCs w:val="22"/>
        </w:rPr>
        <w:t>El 09 de julio de 2020</w:t>
      </w:r>
      <w:r w:rsidR="005E269C" w:rsidRPr="00652317">
        <w:rPr>
          <w:b w:val="0"/>
          <w:sz w:val="22"/>
          <w:szCs w:val="22"/>
        </w:rPr>
        <w:t>, la Presidenta de la Comisión Estatal de Derechos Humanos de Veracruz promovió acción de inconstitucionalidad en contra de los Poderes Legislativo y Ejecutivo del Estado de Veracruz, demandando la invalidez</w:t>
      </w:r>
      <w:r w:rsidR="00A6544A" w:rsidRPr="00652317">
        <w:rPr>
          <w:b w:val="0"/>
          <w:sz w:val="22"/>
          <w:szCs w:val="22"/>
        </w:rPr>
        <w:t xml:space="preserve"> de los artículos 47, 48, 77, 92, fracción XI, 98, 100, 132, 139, 139 ter, 141, 142, 144, 145, 148, 151, 241, 2542 ter, 252 bis, 254 septies, 687 y 725 del Código Civil para</w:t>
      </w:r>
      <w:r w:rsidR="006D1EBE" w:rsidRPr="00652317">
        <w:rPr>
          <w:b w:val="0"/>
          <w:sz w:val="22"/>
          <w:szCs w:val="22"/>
        </w:rPr>
        <w:t xml:space="preserve"> el Estado de Veracruz de Ignacio de la Llave</w:t>
      </w:r>
      <w:r w:rsidR="00A6544A" w:rsidRPr="00652317">
        <w:rPr>
          <w:b w:val="0"/>
          <w:sz w:val="22"/>
          <w:szCs w:val="22"/>
        </w:rPr>
        <w:t xml:space="preserve">, específicamente en las porciones normativas que regulan los conceptos de “matrimonio”, “concubinato”, “sociedad conyugal”, “cónyuges” o “cónyuge” o “excónyuge” o “excónyuges” y “divorcio”, </w:t>
      </w:r>
      <w:r w:rsidR="007060A4" w:rsidRPr="00652317">
        <w:rPr>
          <w:b w:val="0"/>
          <w:sz w:val="22"/>
          <w:szCs w:val="22"/>
        </w:rPr>
        <w:t xml:space="preserve">en su texto derivado del decreto 569, publicado en la Gaceta Oficial del Estado el </w:t>
      </w:r>
      <w:r w:rsidR="00CC3776" w:rsidRPr="00652317">
        <w:rPr>
          <w:b w:val="0"/>
          <w:sz w:val="22"/>
          <w:szCs w:val="22"/>
        </w:rPr>
        <w:t xml:space="preserve">10 de junio de 2020. </w:t>
      </w:r>
    </w:p>
    <w:p w:rsidR="009123FC" w:rsidRPr="00652317" w:rsidRDefault="006D1EBE" w:rsidP="00652317">
      <w:pPr>
        <w:pStyle w:val="Puesto"/>
        <w:spacing w:after="240" w:line="276" w:lineRule="auto"/>
        <w:ind w:left="142" w:right="134" w:firstLine="0"/>
        <w:jc w:val="both"/>
        <w:rPr>
          <w:b w:val="0"/>
          <w:sz w:val="22"/>
          <w:szCs w:val="22"/>
        </w:rPr>
      </w:pPr>
      <w:r w:rsidRPr="00652317">
        <w:rPr>
          <w:b w:val="0"/>
          <w:sz w:val="22"/>
          <w:szCs w:val="22"/>
        </w:rPr>
        <w:t xml:space="preserve">Por su parte, el 03 de agosto de 2020, la Presidenta de la Comisión Nacional de los Derechos Humanos, promovió diversa acción de inconstitucionalidad en contra de los Poderes Legislativo y Ejecutivo del Estado de Veracruz, demandando la invalidez de los artículos 77, 98 y 100 del mismo Código Civil para el Estado de Veracruz, en su texto derivado del decreto 569 publicado en la Gaceta Oficial del Estado el </w:t>
      </w:r>
      <w:r w:rsidR="00CC3776" w:rsidRPr="00652317">
        <w:rPr>
          <w:b w:val="0"/>
          <w:sz w:val="22"/>
          <w:szCs w:val="22"/>
        </w:rPr>
        <w:t xml:space="preserve">10 de junio de 2020. </w:t>
      </w:r>
    </w:p>
    <w:p w:rsidR="00EB262F" w:rsidRPr="00652317" w:rsidRDefault="009F0202" w:rsidP="00652317">
      <w:pPr>
        <w:pStyle w:val="Puesto"/>
        <w:spacing w:after="240" w:line="276" w:lineRule="auto"/>
        <w:ind w:left="142" w:right="13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Las p</w:t>
      </w:r>
      <w:r w:rsidR="00EB262F" w:rsidRPr="00652317">
        <w:rPr>
          <w:b w:val="0"/>
          <w:sz w:val="22"/>
          <w:szCs w:val="22"/>
        </w:rPr>
        <w:t>romoventes estimaron violados los artículos 1, 4, 16 y 133 de la Constitución Política de los Estados Unidos Mexicanos; 1, 11, 17, 19 y 24 de la Convención Americana sobre Derechos Humanos; 2, 3, 17, 23 y 26 del Pacto Internacional de Derechos Civiles y Políticos; y 1, 2, 3, 4, 8 y 9 de la Convención Interamericana contra Toda Forma de Discriminación e Intolerancia.</w:t>
      </w:r>
    </w:p>
    <w:p w:rsidR="00715B45" w:rsidRPr="00652317" w:rsidRDefault="00B41D20" w:rsidP="00652317">
      <w:pPr>
        <w:pStyle w:val="Puesto"/>
        <w:spacing w:after="240" w:line="276" w:lineRule="auto"/>
        <w:ind w:left="142" w:right="134" w:firstLine="0"/>
        <w:jc w:val="both"/>
        <w:rPr>
          <w:b w:val="0"/>
          <w:sz w:val="22"/>
          <w:szCs w:val="22"/>
        </w:rPr>
      </w:pPr>
      <w:r w:rsidRPr="00652317">
        <w:rPr>
          <w:b w:val="0"/>
          <w:sz w:val="22"/>
          <w:szCs w:val="22"/>
        </w:rPr>
        <w:t xml:space="preserve">Por razón de turno, se designó al </w:t>
      </w:r>
      <w:r w:rsidR="002C4A32" w:rsidRPr="00652317">
        <w:rPr>
          <w:b w:val="0"/>
          <w:sz w:val="22"/>
          <w:szCs w:val="22"/>
        </w:rPr>
        <w:t>Ministro Alberto Pérez Dayán como</w:t>
      </w:r>
      <w:r w:rsidR="00CC3776" w:rsidRPr="00652317">
        <w:rPr>
          <w:b w:val="0"/>
          <w:sz w:val="22"/>
          <w:szCs w:val="22"/>
        </w:rPr>
        <w:t xml:space="preserve"> instructor del procedimiento. </w:t>
      </w:r>
    </w:p>
    <w:p w:rsidR="005F1936" w:rsidRPr="00652317" w:rsidRDefault="00CC3776" w:rsidP="00652317">
      <w:pPr>
        <w:pStyle w:val="Puesto"/>
        <w:spacing w:after="240" w:line="276" w:lineRule="auto"/>
        <w:ind w:left="142" w:right="134" w:firstLine="0"/>
        <w:jc w:val="both"/>
        <w:rPr>
          <w:sz w:val="22"/>
          <w:szCs w:val="22"/>
        </w:rPr>
      </w:pPr>
      <w:r w:rsidRPr="00652317">
        <w:rPr>
          <w:sz w:val="22"/>
          <w:szCs w:val="22"/>
        </w:rPr>
        <w:t>Resolución</w:t>
      </w:r>
      <w:r w:rsidR="009F0202">
        <w:rPr>
          <w:sz w:val="22"/>
          <w:szCs w:val="22"/>
        </w:rPr>
        <w:t>.</w:t>
      </w:r>
    </w:p>
    <w:p w:rsidR="005F1936" w:rsidRPr="00652317" w:rsidRDefault="005F1936" w:rsidP="00652317">
      <w:pPr>
        <w:pStyle w:val="Puesto"/>
        <w:spacing w:after="240" w:line="276" w:lineRule="auto"/>
        <w:ind w:left="142" w:right="134" w:firstLine="0"/>
        <w:jc w:val="both"/>
        <w:rPr>
          <w:b w:val="0"/>
          <w:sz w:val="22"/>
          <w:szCs w:val="22"/>
        </w:rPr>
      </w:pPr>
      <w:r w:rsidRPr="00652317">
        <w:rPr>
          <w:b w:val="0"/>
          <w:sz w:val="22"/>
          <w:szCs w:val="22"/>
          <w:lang w:val="es-MX"/>
        </w:rPr>
        <w:t>En Sesión del Pleno de la Suprema Corte de Justicia de la Nación de fecha 30 de mayo del año 2022, se resolvió la Acción de Inconstitucionalidad 144/2020 y su acumulada 185/2020, promovidas por la Comisión Estatal de Derechos Humanos de Veracruz y la Comisión Nacional de los Derechos Humanos, respectivamente.</w:t>
      </w:r>
    </w:p>
    <w:p w:rsidR="003C1F9F" w:rsidRPr="00652317" w:rsidRDefault="00256D3E" w:rsidP="00652317">
      <w:pPr>
        <w:pStyle w:val="Puesto"/>
        <w:spacing w:after="240" w:line="276" w:lineRule="auto"/>
        <w:ind w:left="142" w:right="134" w:firstLine="0"/>
        <w:jc w:val="both"/>
        <w:rPr>
          <w:b w:val="0"/>
          <w:sz w:val="22"/>
          <w:szCs w:val="22"/>
        </w:rPr>
      </w:pPr>
      <w:r w:rsidRPr="00652317">
        <w:rPr>
          <w:b w:val="0"/>
          <w:sz w:val="22"/>
          <w:szCs w:val="22"/>
        </w:rPr>
        <w:t xml:space="preserve">El tema que plantearon la CNDH y la CEDHV es que los artículos impugnados del Código Civil para el Estado de Veracruz transgreden los derechos de </w:t>
      </w:r>
      <w:r w:rsidR="007219B5" w:rsidRPr="00652317">
        <w:rPr>
          <w:b w:val="0"/>
          <w:sz w:val="22"/>
          <w:szCs w:val="22"/>
        </w:rPr>
        <w:t xml:space="preserve">igualdad, no discriminación, al libre desarrollo de la personalidad, a la identidad y a la </w:t>
      </w:r>
      <w:r w:rsidR="00060B63" w:rsidRPr="00652317">
        <w:rPr>
          <w:b w:val="0"/>
          <w:sz w:val="22"/>
          <w:szCs w:val="22"/>
        </w:rPr>
        <w:t xml:space="preserve">libertad de </w:t>
      </w:r>
      <w:r w:rsidR="00060B63" w:rsidRPr="00652317">
        <w:rPr>
          <w:b w:val="0"/>
          <w:sz w:val="22"/>
          <w:szCs w:val="22"/>
        </w:rPr>
        <w:lastRenderedPageBreak/>
        <w:t xml:space="preserve">formar una familia, </w:t>
      </w:r>
      <w:r w:rsidR="003C1F9F" w:rsidRPr="00652317">
        <w:rPr>
          <w:b w:val="0"/>
          <w:sz w:val="22"/>
          <w:szCs w:val="22"/>
        </w:rPr>
        <w:t>al permitir el matrimonio</w:t>
      </w:r>
      <w:r w:rsidR="00935E4F" w:rsidRPr="00652317">
        <w:rPr>
          <w:b w:val="0"/>
          <w:sz w:val="22"/>
          <w:szCs w:val="22"/>
        </w:rPr>
        <w:t xml:space="preserve"> sólo a parejas heterosexuales, </w:t>
      </w:r>
      <w:r w:rsidR="003C1F9F" w:rsidRPr="00652317">
        <w:rPr>
          <w:b w:val="0"/>
          <w:sz w:val="22"/>
          <w:szCs w:val="22"/>
        </w:rPr>
        <w:t>resultan discriminatorios en perjuicio de las parejas</w:t>
      </w:r>
      <w:r w:rsidR="00CC3776" w:rsidRPr="00652317">
        <w:rPr>
          <w:b w:val="0"/>
          <w:sz w:val="22"/>
          <w:szCs w:val="22"/>
        </w:rPr>
        <w:t xml:space="preserve"> del mismo sexo.</w:t>
      </w:r>
    </w:p>
    <w:p w:rsidR="007474A7" w:rsidRPr="00652317" w:rsidRDefault="00A65B9B" w:rsidP="00652317">
      <w:pPr>
        <w:pStyle w:val="Puesto"/>
        <w:spacing w:after="240" w:line="276" w:lineRule="auto"/>
        <w:ind w:left="142" w:right="134" w:firstLine="0"/>
        <w:jc w:val="both"/>
        <w:rPr>
          <w:b w:val="0"/>
          <w:sz w:val="22"/>
          <w:szCs w:val="22"/>
        </w:rPr>
      </w:pPr>
      <w:r w:rsidRPr="00652317">
        <w:rPr>
          <w:b w:val="0"/>
          <w:sz w:val="22"/>
          <w:szCs w:val="22"/>
        </w:rPr>
        <w:t>En el proyecto se</w:t>
      </w:r>
      <w:r w:rsidR="007474A7" w:rsidRPr="00652317">
        <w:rPr>
          <w:b w:val="0"/>
          <w:sz w:val="22"/>
          <w:szCs w:val="22"/>
        </w:rPr>
        <w:t xml:space="preserve"> estudiaron 3 temas importantes: </w:t>
      </w:r>
      <w:r w:rsidRPr="00652317">
        <w:rPr>
          <w:b w:val="0"/>
          <w:sz w:val="22"/>
          <w:szCs w:val="22"/>
        </w:rPr>
        <w:t xml:space="preserve"> </w:t>
      </w:r>
    </w:p>
    <w:p w:rsidR="007474A7" w:rsidRPr="00652317" w:rsidRDefault="007474A7" w:rsidP="00652317">
      <w:pPr>
        <w:pStyle w:val="Puesto"/>
        <w:numPr>
          <w:ilvl w:val="0"/>
          <w:numId w:val="5"/>
        </w:numPr>
        <w:spacing w:after="240" w:line="276" w:lineRule="auto"/>
        <w:ind w:right="134"/>
        <w:jc w:val="both"/>
        <w:rPr>
          <w:sz w:val="22"/>
          <w:szCs w:val="22"/>
        </w:rPr>
      </w:pPr>
      <w:r w:rsidRPr="00652317">
        <w:rPr>
          <w:b w:val="0"/>
          <w:sz w:val="22"/>
          <w:szCs w:val="22"/>
        </w:rPr>
        <w:t>L</w:t>
      </w:r>
      <w:r w:rsidR="00A65B9B" w:rsidRPr="00652317">
        <w:rPr>
          <w:b w:val="0"/>
          <w:sz w:val="22"/>
          <w:szCs w:val="22"/>
        </w:rPr>
        <w:t xml:space="preserve">os artículos 47, 48, 77, 92, fracción XI, 98, 100, 132, 139, 139 ter, 141, 142, 144, 145, 148, 151, 241, 242 ter, 252 bis, 254 septies, y 725 del Código Civil para el Estado de Veracruz, en relación con los derechos al libre desarrollo de la personalidad, de igualdad y no discriminación, y al desarrollo de la familia, </w:t>
      </w:r>
      <w:r w:rsidRPr="00652317">
        <w:rPr>
          <w:b w:val="0"/>
          <w:sz w:val="22"/>
          <w:szCs w:val="22"/>
        </w:rPr>
        <w:t xml:space="preserve">en tanto que </w:t>
      </w:r>
      <w:r w:rsidR="00B904FF" w:rsidRPr="00652317">
        <w:rPr>
          <w:sz w:val="22"/>
          <w:szCs w:val="22"/>
        </w:rPr>
        <w:t xml:space="preserve">descartan </w:t>
      </w:r>
      <w:r w:rsidRPr="00652317">
        <w:rPr>
          <w:sz w:val="22"/>
          <w:szCs w:val="22"/>
        </w:rPr>
        <w:t>d</w:t>
      </w:r>
      <w:r w:rsidR="00A65B9B" w:rsidRPr="00652317">
        <w:rPr>
          <w:sz w:val="22"/>
          <w:szCs w:val="22"/>
        </w:rPr>
        <w:t>el régimen del matrimonio y del concubinato a las parejas del mismo sexo.</w:t>
      </w:r>
    </w:p>
    <w:p w:rsidR="007474A7" w:rsidRPr="00652317" w:rsidRDefault="007474A7" w:rsidP="00652317">
      <w:pPr>
        <w:pStyle w:val="Puesto"/>
        <w:numPr>
          <w:ilvl w:val="0"/>
          <w:numId w:val="5"/>
        </w:numPr>
        <w:spacing w:after="240" w:line="276" w:lineRule="auto"/>
        <w:ind w:right="134"/>
        <w:jc w:val="both"/>
        <w:rPr>
          <w:b w:val="0"/>
          <w:sz w:val="22"/>
          <w:szCs w:val="22"/>
        </w:rPr>
      </w:pPr>
      <w:r w:rsidRPr="00652317">
        <w:rPr>
          <w:b w:val="0"/>
          <w:sz w:val="22"/>
          <w:szCs w:val="22"/>
        </w:rPr>
        <w:t xml:space="preserve">El artículo 687 del Código Civil para el Estado de Veracruz en relación con los derechos fundamentales de la infancia, porque </w:t>
      </w:r>
      <w:r w:rsidRPr="00652317">
        <w:rPr>
          <w:sz w:val="22"/>
          <w:szCs w:val="22"/>
        </w:rPr>
        <w:t xml:space="preserve">impide que se asiente en el acta de nacimiento al progenitor, hombre o mujer, que haya estado casado al sobrevenir el nacimiento o en la época de la concepción. </w:t>
      </w:r>
    </w:p>
    <w:p w:rsidR="00A65B9B" w:rsidRPr="00652317" w:rsidRDefault="00A65B9B" w:rsidP="00652317">
      <w:pPr>
        <w:pStyle w:val="Puesto"/>
        <w:numPr>
          <w:ilvl w:val="0"/>
          <w:numId w:val="5"/>
        </w:numPr>
        <w:spacing w:after="240" w:line="276" w:lineRule="auto"/>
        <w:ind w:right="134"/>
        <w:jc w:val="both"/>
        <w:rPr>
          <w:b w:val="0"/>
          <w:sz w:val="22"/>
          <w:szCs w:val="22"/>
        </w:rPr>
      </w:pPr>
      <w:r w:rsidRPr="00652317">
        <w:rPr>
          <w:b w:val="0"/>
          <w:sz w:val="22"/>
          <w:szCs w:val="22"/>
        </w:rPr>
        <w:t xml:space="preserve">Como consideración adicional, se analizó el artículo 145, penúltimo párrafo, del Código Civil para el Estado de Veracruz, en relación con el </w:t>
      </w:r>
      <w:r w:rsidRPr="00652317">
        <w:rPr>
          <w:sz w:val="22"/>
          <w:szCs w:val="22"/>
        </w:rPr>
        <w:t>derecho a la consulta a personas con discapacidad.</w:t>
      </w:r>
    </w:p>
    <w:p w:rsidR="002E406A" w:rsidRPr="00652317" w:rsidRDefault="007B4713" w:rsidP="00652317">
      <w:pPr>
        <w:pStyle w:val="Puesto"/>
        <w:spacing w:after="240" w:line="276" w:lineRule="auto"/>
        <w:ind w:left="142" w:right="134" w:firstLine="0"/>
        <w:jc w:val="both"/>
        <w:rPr>
          <w:b w:val="0"/>
          <w:sz w:val="22"/>
          <w:szCs w:val="22"/>
        </w:rPr>
      </w:pPr>
      <w:r w:rsidRPr="00652317">
        <w:rPr>
          <w:b w:val="0"/>
          <w:sz w:val="22"/>
          <w:szCs w:val="22"/>
        </w:rPr>
        <w:t>Por lo anterior, se llegó a la</w:t>
      </w:r>
      <w:r w:rsidR="00CC3776" w:rsidRPr="00652317">
        <w:rPr>
          <w:b w:val="0"/>
          <w:sz w:val="22"/>
          <w:szCs w:val="22"/>
        </w:rPr>
        <w:t xml:space="preserve">s siguientes conclusiones: </w:t>
      </w:r>
    </w:p>
    <w:p w:rsidR="002E406A" w:rsidRPr="00652317" w:rsidRDefault="002E406A" w:rsidP="00652317">
      <w:pPr>
        <w:pStyle w:val="Puesto"/>
        <w:numPr>
          <w:ilvl w:val="0"/>
          <w:numId w:val="4"/>
        </w:numPr>
        <w:spacing w:after="240" w:line="276" w:lineRule="auto"/>
        <w:ind w:right="134"/>
        <w:jc w:val="both"/>
        <w:rPr>
          <w:b w:val="0"/>
          <w:sz w:val="22"/>
          <w:szCs w:val="22"/>
        </w:rPr>
      </w:pPr>
      <w:r w:rsidRPr="00652317">
        <w:rPr>
          <w:b w:val="0"/>
          <w:sz w:val="22"/>
          <w:szCs w:val="22"/>
        </w:rPr>
        <w:t>D</w:t>
      </w:r>
      <w:r w:rsidR="007B4713" w:rsidRPr="00652317">
        <w:rPr>
          <w:b w:val="0"/>
          <w:sz w:val="22"/>
          <w:szCs w:val="22"/>
        </w:rPr>
        <w:t xml:space="preserve">eclarar la invalidez de los artículos 47, 48, párrafo primero, específicamente en el enunciado normativo que indica "de la madre y el del padre", y 145, párrafo tercero, específicamente en el enunciado normativo que indica "con la madre y el padre", del Código Civil para el Estado de Veracruz. </w:t>
      </w:r>
    </w:p>
    <w:p w:rsidR="002E406A" w:rsidRPr="00652317" w:rsidRDefault="00CC3776" w:rsidP="00652317">
      <w:pPr>
        <w:pStyle w:val="Puesto"/>
        <w:numPr>
          <w:ilvl w:val="0"/>
          <w:numId w:val="4"/>
        </w:numPr>
        <w:spacing w:after="240" w:line="276" w:lineRule="auto"/>
        <w:ind w:right="134"/>
        <w:jc w:val="both"/>
        <w:rPr>
          <w:b w:val="0"/>
          <w:sz w:val="22"/>
          <w:szCs w:val="22"/>
        </w:rPr>
      </w:pPr>
      <w:r w:rsidRPr="00652317">
        <w:rPr>
          <w:b w:val="0"/>
          <w:sz w:val="22"/>
          <w:szCs w:val="22"/>
        </w:rPr>
        <w:t>E</w:t>
      </w:r>
      <w:r w:rsidR="007B4713" w:rsidRPr="00652317">
        <w:rPr>
          <w:b w:val="0"/>
          <w:sz w:val="22"/>
          <w:szCs w:val="22"/>
        </w:rPr>
        <w:t>xtender la declaratoria de invalidez al artículo 75 del Código Civil para el Estado de Veracruz, en la porción normativa que indica "un so</w:t>
      </w:r>
      <w:r w:rsidR="002E406A" w:rsidRPr="00652317">
        <w:rPr>
          <w:b w:val="0"/>
          <w:sz w:val="22"/>
          <w:szCs w:val="22"/>
        </w:rPr>
        <w:t xml:space="preserve">lo hombre y una sola mujer". </w:t>
      </w:r>
    </w:p>
    <w:p w:rsidR="005F1936" w:rsidRPr="00652317" w:rsidRDefault="00CC3776" w:rsidP="00652317">
      <w:pPr>
        <w:pStyle w:val="Puesto"/>
        <w:numPr>
          <w:ilvl w:val="0"/>
          <w:numId w:val="4"/>
        </w:numPr>
        <w:spacing w:after="240" w:line="276" w:lineRule="auto"/>
        <w:ind w:right="134"/>
        <w:jc w:val="both"/>
        <w:rPr>
          <w:b w:val="0"/>
          <w:sz w:val="22"/>
          <w:szCs w:val="22"/>
        </w:rPr>
      </w:pPr>
      <w:r w:rsidRPr="00652317">
        <w:rPr>
          <w:b w:val="0"/>
          <w:sz w:val="22"/>
          <w:szCs w:val="22"/>
        </w:rPr>
        <w:t>También se declaró</w:t>
      </w:r>
      <w:r w:rsidR="007B4713" w:rsidRPr="00652317">
        <w:rPr>
          <w:b w:val="0"/>
          <w:sz w:val="22"/>
          <w:szCs w:val="22"/>
        </w:rPr>
        <w:t xml:space="preserve"> la invalidez del artículo 145, penúltimo párrafo, del Código Ci</w:t>
      </w:r>
      <w:r w:rsidRPr="00652317">
        <w:rPr>
          <w:b w:val="0"/>
          <w:sz w:val="22"/>
          <w:szCs w:val="22"/>
        </w:rPr>
        <w:t>vil para el Estado de Veracruz</w:t>
      </w:r>
      <w:r w:rsidR="00942579" w:rsidRPr="00652317">
        <w:rPr>
          <w:b w:val="0"/>
          <w:sz w:val="22"/>
          <w:szCs w:val="22"/>
        </w:rPr>
        <w:t xml:space="preserve">, que indica </w:t>
      </w:r>
      <w:r w:rsidR="00942579" w:rsidRPr="00652317">
        <w:rPr>
          <w:sz w:val="22"/>
          <w:szCs w:val="22"/>
        </w:rPr>
        <w:t>“Para el caso de mayores con discapacidad, bajo tutela de excónyuges, en la sentencia de divorcio deberán establecerse las medidas a que se refiere este artículo para su protección”</w:t>
      </w:r>
      <w:r w:rsidR="002D528D" w:rsidRPr="00652317">
        <w:rPr>
          <w:b w:val="0"/>
          <w:sz w:val="22"/>
          <w:szCs w:val="22"/>
        </w:rPr>
        <w:t xml:space="preserve">; lo cual conlleva la obligación constitucional de que el Poder Legislativo de Veracruz, </w:t>
      </w:r>
      <w:r w:rsidR="002D528D" w:rsidRPr="00652317">
        <w:rPr>
          <w:sz w:val="22"/>
          <w:szCs w:val="22"/>
        </w:rPr>
        <w:t>realice la consulta previa a las personas con discapacidad</w:t>
      </w:r>
      <w:r w:rsidR="002D528D" w:rsidRPr="00652317">
        <w:rPr>
          <w:b w:val="0"/>
          <w:sz w:val="22"/>
          <w:szCs w:val="22"/>
        </w:rPr>
        <w:t xml:space="preserve">, cumpliendo con los parámetros establecidos por la SCJN en su sentencia y con base a los resultados, emita la disposición legal que corresponda. </w:t>
      </w:r>
    </w:p>
    <w:p w:rsidR="00CC3776" w:rsidRPr="00652317" w:rsidRDefault="00CC3776" w:rsidP="00652317">
      <w:pPr>
        <w:pStyle w:val="Puesto"/>
        <w:numPr>
          <w:ilvl w:val="0"/>
          <w:numId w:val="4"/>
        </w:numPr>
        <w:spacing w:after="240" w:line="276" w:lineRule="auto"/>
        <w:ind w:right="134"/>
        <w:jc w:val="both"/>
        <w:rPr>
          <w:b w:val="0"/>
          <w:sz w:val="22"/>
          <w:szCs w:val="22"/>
        </w:rPr>
      </w:pPr>
      <w:r w:rsidRPr="00652317">
        <w:rPr>
          <w:b w:val="0"/>
          <w:sz w:val="22"/>
          <w:szCs w:val="22"/>
        </w:rPr>
        <w:t>Finalmente, también se impuso</w:t>
      </w:r>
      <w:r w:rsidR="007B4713" w:rsidRPr="00652317">
        <w:rPr>
          <w:b w:val="0"/>
          <w:sz w:val="22"/>
          <w:szCs w:val="22"/>
        </w:rPr>
        <w:t xml:space="preserve"> declarar la invalidez del artículo 687 del Código Civil para el Estado de Veracruz. </w:t>
      </w:r>
    </w:p>
    <w:p w:rsidR="00942579" w:rsidRPr="00652317" w:rsidRDefault="00942579" w:rsidP="00652317">
      <w:pPr>
        <w:pStyle w:val="Puesto"/>
        <w:spacing w:after="240" w:line="276" w:lineRule="auto"/>
        <w:ind w:left="0" w:right="134" w:firstLine="0"/>
        <w:jc w:val="both"/>
        <w:rPr>
          <w:b w:val="0"/>
          <w:sz w:val="22"/>
          <w:szCs w:val="22"/>
        </w:rPr>
      </w:pPr>
      <w:r w:rsidRPr="00652317">
        <w:rPr>
          <w:b w:val="0"/>
          <w:color w:val="000000"/>
          <w:sz w:val="22"/>
          <w:szCs w:val="22"/>
          <w:shd w:val="clear" w:color="auto" w:fill="FFFFFF"/>
        </w:rPr>
        <w:t>Por lo tanto, la acción estudiada se resolvió por unanimidad de votos a favor de la propuesta modificada.</w:t>
      </w:r>
    </w:p>
    <w:p w:rsidR="00715B45" w:rsidRPr="00652317" w:rsidRDefault="00942579" w:rsidP="00652317">
      <w:pPr>
        <w:pStyle w:val="Puesto"/>
        <w:spacing w:after="240" w:line="276" w:lineRule="auto"/>
        <w:ind w:left="0" w:right="134" w:firstLine="0"/>
        <w:jc w:val="both"/>
        <w:rPr>
          <w:b w:val="0"/>
          <w:sz w:val="22"/>
          <w:szCs w:val="22"/>
        </w:rPr>
      </w:pPr>
      <w:r w:rsidRPr="00652317">
        <w:rPr>
          <w:b w:val="0"/>
          <w:sz w:val="22"/>
          <w:szCs w:val="22"/>
        </w:rPr>
        <w:t>Asimismo, l</w:t>
      </w:r>
      <w:r w:rsidR="007B4713" w:rsidRPr="00652317">
        <w:rPr>
          <w:b w:val="0"/>
          <w:sz w:val="22"/>
          <w:szCs w:val="22"/>
        </w:rPr>
        <w:t xml:space="preserve">a invalidez no tendrá efectos retroactivos y surtirá sus efectos a partir de la </w:t>
      </w:r>
      <w:r w:rsidR="007B4713" w:rsidRPr="00652317">
        <w:rPr>
          <w:b w:val="0"/>
          <w:sz w:val="22"/>
          <w:szCs w:val="22"/>
        </w:rPr>
        <w:lastRenderedPageBreak/>
        <w:t>notificación de los puntos resolutivos de esta ejecutoria al Congreso del Estado de Veracruz de Ignacio de la Llave.</w:t>
      </w:r>
    </w:p>
    <w:p w:rsidR="006141F0" w:rsidRPr="00652317" w:rsidRDefault="006141F0" w:rsidP="00652317">
      <w:pPr>
        <w:pStyle w:val="Puesto"/>
        <w:spacing w:after="240" w:line="276" w:lineRule="auto"/>
        <w:ind w:left="0" w:right="134" w:firstLine="0"/>
        <w:jc w:val="both"/>
        <w:rPr>
          <w:sz w:val="22"/>
          <w:szCs w:val="22"/>
        </w:rPr>
      </w:pPr>
      <w:r w:rsidRPr="00652317">
        <w:rPr>
          <w:sz w:val="22"/>
          <w:szCs w:val="22"/>
        </w:rPr>
        <w:t>Puntos Resolutivos</w:t>
      </w:r>
      <w:r w:rsidR="009F0202">
        <w:rPr>
          <w:sz w:val="22"/>
          <w:szCs w:val="22"/>
        </w:rPr>
        <w:t>.</w:t>
      </w:r>
    </w:p>
    <w:p w:rsidR="00AE78A6" w:rsidRPr="00046DEC" w:rsidRDefault="009F0202" w:rsidP="009F0202">
      <w:pPr>
        <w:spacing w:after="240" w:line="276" w:lineRule="auto"/>
        <w:ind w:left="567" w:right="616"/>
        <w:jc w:val="both"/>
        <w:rPr>
          <w:rFonts w:ascii="Arial" w:hAnsi="Arial" w:cs="Arial"/>
          <w:b/>
          <w:i/>
        </w:rPr>
      </w:pPr>
      <w:r w:rsidRPr="00046DEC">
        <w:rPr>
          <w:rFonts w:ascii="Arial" w:hAnsi="Arial" w:cs="Arial"/>
          <w:i/>
        </w:rPr>
        <w:t>“</w:t>
      </w:r>
      <w:r w:rsidR="00AE78A6" w:rsidRPr="00046DEC">
        <w:rPr>
          <w:rFonts w:ascii="Arial" w:hAnsi="Arial" w:cs="Arial"/>
          <w:b/>
          <w:i/>
        </w:rPr>
        <w:t xml:space="preserve">PRIMERO. </w:t>
      </w:r>
      <w:r w:rsidR="00AE78A6" w:rsidRPr="00046DEC">
        <w:rPr>
          <w:rFonts w:ascii="Arial" w:hAnsi="Arial" w:cs="Arial"/>
          <w:i/>
        </w:rPr>
        <w:t>Es procedente y parcialmente fundada la presente acció</w:t>
      </w:r>
      <w:r w:rsidRPr="00046DEC">
        <w:rPr>
          <w:rFonts w:ascii="Arial" w:hAnsi="Arial" w:cs="Arial"/>
          <w:i/>
        </w:rPr>
        <w:t xml:space="preserve">n de inconstitucionalidad y su </w:t>
      </w:r>
      <w:r w:rsidR="00AE78A6" w:rsidRPr="00046DEC">
        <w:rPr>
          <w:rFonts w:ascii="Arial" w:hAnsi="Arial" w:cs="Arial"/>
          <w:i/>
        </w:rPr>
        <w:t>acumulada.</w:t>
      </w:r>
    </w:p>
    <w:p w:rsidR="00AE78A6" w:rsidRPr="00046DEC" w:rsidRDefault="00AE78A6" w:rsidP="009F0202">
      <w:pPr>
        <w:spacing w:after="240" w:line="276" w:lineRule="auto"/>
        <w:ind w:left="567" w:right="616"/>
        <w:jc w:val="both"/>
        <w:rPr>
          <w:rFonts w:ascii="Arial" w:hAnsi="Arial" w:cs="Arial"/>
          <w:b/>
          <w:i/>
        </w:rPr>
      </w:pPr>
      <w:r w:rsidRPr="00046DEC">
        <w:rPr>
          <w:rFonts w:ascii="Arial" w:hAnsi="Arial" w:cs="Arial"/>
          <w:b/>
          <w:i/>
        </w:rPr>
        <w:t xml:space="preserve">SEGUNDO. </w:t>
      </w:r>
      <w:r w:rsidRPr="00046DEC">
        <w:rPr>
          <w:rFonts w:ascii="Arial" w:hAnsi="Arial" w:cs="Arial"/>
          <w:i/>
        </w:rPr>
        <w:t xml:space="preserve">Se reconoce la validez de los artículos 48 –con la </w:t>
      </w:r>
      <w:r w:rsidR="006141F0" w:rsidRPr="00046DEC">
        <w:rPr>
          <w:rFonts w:ascii="Arial" w:hAnsi="Arial" w:cs="Arial"/>
          <w:i/>
        </w:rPr>
        <w:t xml:space="preserve">salvedad precisada en el punto </w:t>
      </w:r>
      <w:r w:rsidRPr="00046DEC">
        <w:rPr>
          <w:rFonts w:ascii="Arial" w:hAnsi="Arial" w:cs="Arial"/>
          <w:i/>
        </w:rPr>
        <w:t>resolutivo tercero–, 77, 92, fracción XI, 98, 100, 132, 139, 139 te</w:t>
      </w:r>
      <w:r w:rsidR="006141F0" w:rsidRPr="00046DEC">
        <w:rPr>
          <w:rFonts w:ascii="Arial" w:hAnsi="Arial" w:cs="Arial"/>
          <w:i/>
        </w:rPr>
        <w:t xml:space="preserve">r, 141, 142, 144, 145 –con las </w:t>
      </w:r>
      <w:r w:rsidRPr="00046DEC">
        <w:rPr>
          <w:rFonts w:ascii="Arial" w:hAnsi="Arial" w:cs="Arial"/>
          <w:i/>
        </w:rPr>
        <w:t>salvedades precisadas en el punto resolutivo tercero–, 148, 151, 241, 242 ter, 252 bis, 254 septies  y 725 del Código Civil para el Estado de Veracruz de Ignacio de la Llave, reformados y adicionados, respectivamente, mediante el Decreto Número 569, publicado en la Gaceta Oficial de dicha entidad federativa el diez de junio de dos mil veinte; en la inteligencia de que, en la interpretación y aplicación de las porciones normativas "un solo hombre y una sola mujer" y "como marido y mujer" o similares y equivalentes, contenidas en diversos preceptos del código impugnado y en otros ordenamientos de la propia entidad federativa, vinculados tanto con el matrimonio como con el concubinato (comprendido en el Libro Primero, Título IV, Capítulo IV-A de ese código), deberán entenderse que estas instituciones involucran a dos personas del mismo o diferente sexo, de conformidad con los considerandos quinto y sexto de esta decisión.</w:t>
      </w:r>
    </w:p>
    <w:p w:rsidR="00AE78A6" w:rsidRPr="00046DEC" w:rsidRDefault="00AE78A6" w:rsidP="009F0202">
      <w:pPr>
        <w:spacing w:after="240" w:line="276" w:lineRule="auto"/>
        <w:ind w:left="567" w:right="616"/>
        <w:jc w:val="both"/>
        <w:rPr>
          <w:rFonts w:ascii="Arial" w:hAnsi="Arial" w:cs="Arial"/>
          <w:b/>
          <w:i/>
        </w:rPr>
      </w:pPr>
      <w:r w:rsidRPr="00046DEC">
        <w:rPr>
          <w:rFonts w:ascii="Arial" w:hAnsi="Arial" w:cs="Arial"/>
          <w:b/>
          <w:i/>
        </w:rPr>
        <w:t xml:space="preserve">TERCERO. </w:t>
      </w:r>
      <w:r w:rsidRPr="00046DEC">
        <w:rPr>
          <w:rFonts w:ascii="Arial" w:hAnsi="Arial" w:cs="Arial"/>
          <w:i/>
        </w:rPr>
        <w:t>Se declara la invalidez de los artículos 47, en su po</w:t>
      </w:r>
      <w:r w:rsidR="006141F0" w:rsidRPr="00046DEC">
        <w:rPr>
          <w:rFonts w:ascii="Arial" w:hAnsi="Arial" w:cs="Arial"/>
          <w:i/>
        </w:rPr>
        <w:t xml:space="preserve">rción normativa "su madre o su </w:t>
      </w:r>
      <w:r w:rsidRPr="00046DEC">
        <w:rPr>
          <w:rFonts w:ascii="Arial" w:hAnsi="Arial" w:cs="Arial"/>
          <w:i/>
        </w:rPr>
        <w:t xml:space="preserve">padre", 48, párrafo primero, en su porción normativa "de la madre </w:t>
      </w:r>
      <w:r w:rsidR="006141F0" w:rsidRPr="00046DEC">
        <w:rPr>
          <w:rFonts w:ascii="Arial" w:hAnsi="Arial" w:cs="Arial"/>
          <w:i/>
        </w:rPr>
        <w:t xml:space="preserve">y el del padre", 145, párrafos </w:t>
      </w:r>
      <w:r w:rsidRPr="00046DEC">
        <w:rPr>
          <w:rFonts w:ascii="Arial" w:hAnsi="Arial" w:cs="Arial"/>
          <w:i/>
        </w:rPr>
        <w:t>tercero, en su porción normativa "con la madre y el padre", y penúltimo, y 687 del Código Civil para el Estado de Veracruz de Ignacio de la Llave, reformados m</w:t>
      </w:r>
      <w:r w:rsidR="006141F0" w:rsidRPr="00046DEC">
        <w:rPr>
          <w:rFonts w:ascii="Arial" w:hAnsi="Arial" w:cs="Arial"/>
          <w:i/>
        </w:rPr>
        <w:t xml:space="preserve">ediante el Decreto Número 569, </w:t>
      </w:r>
      <w:r w:rsidRPr="00046DEC">
        <w:rPr>
          <w:rFonts w:ascii="Arial" w:hAnsi="Arial" w:cs="Arial"/>
          <w:i/>
        </w:rPr>
        <w:t>publicado en la Gaceta Oficial de dicha entidad federativa el diez de junio de dos mil veinte y, por extensión, la de su diverso artículo 75, en su porción normativa</w:t>
      </w:r>
      <w:r w:rsidR="006141F0" w:rsidRPr="00046DEC">
        <w:rPr>
          <w:rFonts w:ascii="Arial" w:hAnsi="Arial" w:cs="Arial"/>
          <w:i/>
        </w:rPr>
        <w:t xml:space="preserve"> "un solo hombre y de una sola </w:t>
      </w:r>
      <w:r w:rsidRPr="00046DEC">
        <w:rPr>
          <w:rFonts w:ascii="Arial" w:hAnsi="Arial" w:cs="Arial"/>
          <w:i/>
        </w:rPr>
        <w:t>mujer", las cuales surtirán sus efectos a partir de la notificación de estos puntos resolutivos al Congreso del Estado de Veracruz de Ignacio de la Llave, en términos de los considerandos quinto y sexto de esta determinación.</w:t>
      </w:r>
    </w:p>
    <w:p w:rsidR="00CC3776" w:rsidRPr="00046DEC" w:rsidRDefault="00AE78A6" w:rsidP="009F0202">
      <w:pPr>
        <w:spacing w:after="240" w:line="276" w:lineRule="auto"/>
        <w:ind w:left="567" w:right="616"/>
        <w:jc w:val="both"/>
        <w:rPr>
          <w:rFonts w:ascii="Arial" w:hAnsi="Arial" w:cs="Arial"/>
          <w:b/>
          <w:i/>
        </w:rPr>
      </w:pPr>
      <w:r w:rsidRPr="00046DEC">
        <w:rPr>
          <w:rFonts w:ascii="Arial" w:hAnsi="Arial" w:cs="Arial"/>
          <w:b/>
          <w:i/>
        </w:rPr>
        <w:t xml:space="preserve">CUARTO. </w:t>
      </w:r>
      <w:r w:rsidRPr="00046DEC">
        <w:rPr>
          <w:rFonts w:ascii="Arial" w:hAnsi="Arial" w:cs="Arial"/>
          <w:i/>
        </w:rPr>
        <w:t>Publíquese esta resolución en el Diario Oficial de la Fe</w:t>
      </w:r>
      <w:r w:rsidR="006141F0" w:rsidRPr="00046DEC">
        <w:rPr>
          <w:rFonts w:ascii="Arial" w:hAnsi="Arial" w:cs="Arial"/>
          <w:i/>
        </w:rPr>
        <w:t xml:space="preserve">deración, en la Gaceta Oficial </w:t>
      </w:r>
      <w:r w:rsidRPr="00046DEC">
        <w:rPr>
          <w:rFonts w:ascii="Arial" w:hAnsi="Arial" w:cs="Arial"/>
          <w:i/>
        </w:rPr>
        <w:t xml:space="preserve">del Estado de Veracruz de Ignacio de la Llave, así como </w:t>
      </w:r>
      <w:r w:rsidR="006141F0" w:rsidRPr="00046DEC">
        <w:rPr>
          <w:rFonts w:ascii="Arial" w:hAnsi="Arial" w:cs="Arial"/>
          <w:i/>
        </w:rPr>
        <w:t xml:space="preserve">en el Semanario Judicial de la </w:t>
      </w:r>
      <w:r w:rsidRPr="00046DEC">
        <w:rPr>
          <w:rFonts w:ascii="Arial" w:hAnsi="Arial" w:cs="Arial"/>
          <w:i/>
        </w:rPr>
        <w:t>Federación y su Gaceta</w:t>
      </w:r>
      <w:r w:rsidR="009F0202" w:rsidRPr="00046DEC">
        <w:rPr>
          <w:rFonts w:ascii="Arial" w:hAnsi="Arial" w:cs="Arial"/>
          <w:i/>
        </w:rPr>
        <w:t>”</w:t>
      </w:r>
      <w:r w:rsidR="00F20119">
        <w:rPr>
          <w:rFonts w:ascii="Arial" w:hAnsi="Arial" w:cs="Arial"/>
          <w:i/>
        </w:rPr>
        <w:t>.</w:t>
      </w:r>
      <w:bookmarkStart w:id="0" w:name="_GoBack"/>
      <w:bookmarkEnd w:id="0"/>
    </w:p>
    <w:sectPr w:rsidR="00CC3776" w:rsidRPr="00046DEC" w:rsidSect="00B775CF">
      <w:footerReference w:type="default" r:id="rId8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D7C" w:rsidRDefault="00156D7C" w:rsidP="00F20119">
      <w:r>
        <w:separator/>
      </w:r>
    </w:p>
  </w:endnote>
  <w:endnote w:type="continuationSeparator" w:id="0">
    <w:p w:rsidR="00156D7C" w:rsidRDefault="00156D7C" w:rsidP="00F2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4639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20119" w:rsidRDefault="00F20119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0119" w:rsidRDefault="00F201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D7C" w:rsidRDefault="00156D7C" w:rsidP="00F20119">
      <w:r>
        <w:separator/>
      </w:r>
    </w:p>
  </w:footnote>
  <w:footnote w:type="continuationSeparator" w:id="0">
    <w:p w:rsidR="00156D7C" w:rsidRDefault="00156D7C" w:rsidP="00F2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F0E48"/>
    <w:multiLevelType w:val="hybridMultilevel"/>
    <w:tmpl w:val="31481D60"/>
    <w:lvl w:ilvl="0" w:tplc="63309C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3750114"/>
    <w:multiLevelType w:val="hybridMultilevel"/>
    <w:tmpl w:val="17DCB86A"/>
    <w:lvl w:ilvl="0" w:tplc="3AFA1CB0">
      <w:start w:val="1"/>
      <w:numFmt w:val="upperLetter"/>
      <w:lvlText w:val="%1)"/>
      <w:lvlJc w:val="left"/>
      <w:pPr>
        <w:ind w:left="782" w:hanging="374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DA569B8A">
      <w:numFmt w:val="bullet"/>
      <w:lvlText w:val="•"/>
      <w:lvlJc w:val="left"/>
      <w:pPr>
        <w:ind w:left="1736" w:hanging="374"/>
      </w:pPr>
      <w:rPr>
        <w:rFonts w:hint="default"/>
        <w:lang w:val="es-ES" w:eastAsia="en-US" w:bidi="ar-SA"/>
      </w:rPr>
    </w:lvl>
    <w:lvl w:ilvl="2" w:tplc="A37E91B4">
      <w:numFmt w:val="bullet"/>
      <w:lvlText w:val="•"/>
      <w:lvlJc w:val="left"/>
      <w:pPr>
        <w:ind w:left="2692" w:hanging="374"/>
      </w:pPr>
      <w:rPr>
        <w:rFonts w:hint="default"/>
        <w:lang w:val="es-ES" w:eastAsia="en-US" w:bidi="ar-SA"/>
      </w:rPr>
    </w:lvl>
    <w:lvl w:ilvl="3" w:tplc="3EE675A4">
      <w:numFmt w:val="bullet"/>
      <w:lvlText w:val="•"/>
      <w:lvlJc w:val="left"/>
      <w:pPr>
        <w:ind w:left="3648" w:hanging="374"/>
      </w:pPr>
      <w:rPr>
        <w:rFonts w:hint="default"/>
        <w:lang w:val="es-ES" w:eastAsia="en-US" w:bidi="ar-SA"/>
      </w:rPr>
    </w:lvl>
    <w:lvl w:ilvl="4" w:tplc="A9EAFFA6">
      <w:numFmt w:val="bullet"/>
      <w:lvlText w:val="•"/>
      <w:lvlJc w:val="left"/>
      <w:pPr>
        <w:ind w:left="4604" w:hanging="374"/>
      </w:pPr>
      <w:rPr>
        <w:rFonts w:hint="default"/>
        <w:lang w:val="es-ES" w:eastAsia="en-US" w:bidi="ar-SA"/>
      </w:rPr>
    </w:lvl>
    <w:lvl w:ilvl="5" w:tplc="2106334A">
      <w:numFmt w:val="bullet"/>
      <w:lvlText w:val="•"/>
      <w:lvlJc w:val="left"/>
      <w:pPr>
        <w:ind w:left="5560" w:hanging="374"/>
      </w:pPr>
      <w:rPr>
        <w:rFonts w:hint="default"/>
        <w:lang w:val="es-ES" w:eastAsia="en-US" w:bidi="ar-SA"/>
      </w:rPr>
    </w:lvl>
    <w:lvl w:ilvl="6" w:tplc="F2D4718C">
      <w:numFmt w:val="bullet"/>
      <w:lvlText w:val="•"/>
      <w:lvlJc w:val="left"/>
      <w:pPr>
        <w:ind w:left="6516" w:hanging="374"/>
      </w:pPr>
      <w:rPr>
        <w:rFonts w:hint="default"/>
        <w:lang w:val="es-ES" w:eastAsia="en-US" w:bidi="ar-SA"/>
      </w:rPr>
    </w:lvl>
    <w:lvl w:ilvl="7" w:tplc="6BEE244E">
      <w:numFmt w:val="bullet"/>
      <w:lvlText w:val="•"/>
      <w:lvlJc w:val="left"/>
      <w:pPr>
        <w:ind w:left="7472" w:hanging="374"/>
      </w:pPr>
      <w:rPr>
        <w:rFonts w:hint="default"/>
        <w:lang w:val="es-ES" w:eastAsia="en-US" w:bidi="ar-SA"/>
      </w:rPr>
    </w:lvl>
    <w:lvl w:ilvl="8" w:tplc="27B6CE52">
      <w:numFmt w:val="bullet"/>
      <w:lvlText w:val="•"/>
      <w:lvlJc w:val="left"/>
      <w:pPr>
        <w:ind w:left="8428" w:hanging="374"/>
      </w:pPr>
      <w:rPr>
        <w:rFonts w:hint="default"/>
        <w:lang w:val="es-ES" w:eastAsia="en-US" w:bidi="ar-SA"/>
      </w:rPr>
    </w:lvl>
  </w:abstractNum>
  <w:abstractNum w:abstractNumId="2">
    <w:nsid w:val="5E5B0D16"/>
    <w:multiLevelType w:val="hybridMultilevel"/>
    <w:tmpl w:val="623649DC"/>
    <w:lvl w:ilvl="0" w:tplc="D9F41B02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AACDAC0">
      <w:numFmt w:val="bullet"/>
      <w:lvlText w:val="•"/>
      <w:lvlJc w:val="left"/>
      <w:pPr>
        <w:ind w:left="2384" w:hanging="360"/>
      </w:pPr>
      <w:rPr>
        <w:rFonts w:hint="default"/>
        <w:lang w:val="es-ES" w:eastAsia="en-US" w:bidi="ar-SA"/>
      </w:rPr>
    </w:lvl>
    <w:lvl w:ilvl="2" w:tplc="91029F80">
      <w:numFmt w:val="bullet"/>
      <w:lvlText w:val="•"/>
      <w:lvlJc w:val="left"/>
      <w:pPr>
        <w:ind w:left="3268" w:hanging="360"/>
      </w:pPr>
      <w:rPr>
        <w:rFonts w:hint="default"/>
        <w:lang w:val="es-ES" w:eastAsia="en-US" w:bidi="ar-SA"/>
      </w:rPr>
    </w:lvl>
    <w:lvl w:ilvl="3" w:tplc="75BAF4E4">
      <w:numFmt w:val="bullet"/>
      <w:lvlText w:val="•"/>
      <w:lvlJc w:val="left"/>
      <w:pPr>
        <w:ind w:left="4152" w:hanging="360"/>
      </w:pPr>
      <w:rPr>
        <w:rFonts w:hint="default"/>
        <w:lang w:val="es-ES" w:eastAsia="en-US" w:bidi="ar-SA"/>
      </w:rPr>
    </w:lvl>
    <w:lvl w:ilvl="4" w:tplc="97D8D3A2">
      <w:numFmt w:val="bullet"/>
      <w:lvlText w:val="•"/>
      <w:lvlJc w:val="left"/>
      <w:pPr>
        <w:ind w:left="5036" w:hanging="360"/>
      </w:pPr>
      <w:rPr>
        <w:rFonts w:hint="default"/>
        <w:lang w:val="es-ES" w:eastAsia="en-US" w:bidi="ar-SA"/>
      </w:rPr>
    </w:lvl>
    <w:lvl w:ilvl="5" w:tplc="7BD4FD94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B59480DE">
      <w:numFmt w:val="bullet"/>
      <w:lvlText w:val="•"/>
      <w:lvlJc w:val="left"/>
      <w:pPr>
        <w:ind w:left="6804" w:hanging="360"/>
      </w:pPr>
      <w:rPr>
        <w:rFonts w:hint="default"/>
        <w:lang w:val="es-ES" w:eastAsia="en-US" w:bidi="ar-SA"/>
      </w:rPr>
    </w:lvl>
    <w:lvl w:ilvl="7" w:tplc="66601024">
      <w:numFmt w:val="bullet"/>
      <w:lvlText w:val="•"/>
      <w:lvlJc w:val="left"/>
      <w:pPr>
        <w:ind w:left="7688" w:hanging="360"/>
      </w:pPr>
      <w:rPr>
        <w:rFonts w:hint="default"/>
        <w:lang w:val="es-ES" w:eastAsia="en-US" w:bidi="ar-SA"/>
      </w:rPr>
    </w:lvl>
    <w:lvl w:ilvl="8" w:tplc="BC8A9C5E">
      <w:numFmt w:val="bullet"/>
      <w:lvlText w:val="•"/>
      <w:lvlJc w:val="left"/>
      <w:pPr>
        <w:ind w:left="8572" w:hanging="360"/>
      </w:pPr>
      <w:rPr>
        <w:rFonts w:hint="default"/>
        <w:lang w:val="es-ES" w:eastAsia="en-US" w:bidi="ar-SA"/>
      </w:rPr>
    </w:lvl>
  </w:abstractNum>
  <w:abstractNum w:abstractNumId="3">
    <w:nsid w:val="72230750"/>
    <w:multiLevelType w:val="hybridMultilevel"/>
    <w:tmpl w:val="42D09DBE"/>
    <w:lvl w:ilvl="0" w:tplc="3EA23C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5AD4AD4"/>
    <w:multiLevelType w:val="hybridMultilevel"/>
    <w:tmpl w:val="F0B4BB48"/>
    <w:lvl w:ilvl="0" w:tplc="339E8F72">
      <w:numFmt w:val="bullet"/>
      <w:lvlText w:val="•"/>
      <w:lvlJc w:val="left"/>
      <w:pPr>
        <w:ind w:left="1490" w:hanging="70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3FC6824">
      <w:numFmt w:val="bullet"/>
      <w:lvlText w:val=""/>
      <w:lvlJc w:val="left"/>
      <w:pPr>
        <w:ind w:left="150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A740AEF4">
      <w:numFmt w:val="bullet"/>
      <w:lvlText w:val="•"/>
      <w:lvlJc w:val="left"/>
      <w:pPr>
        <w:ind w:left="3268" w:hanging="360"/>
      </w:pPr>
      <w:rPr>
        <w:rFonts w:hint="default"/>
        <w:lang w:val="es-ES" w:eastAsia="en-US" w:bidi="ar-SA"/>
      </w:rPr>
    </w:lvl>
    <w:lvl w:ilvl="3" w:tplc="5F8010A4">
      <w:numFmt w:val="bullet"/>
      <w:lvlText w:val="•"/>
      <w:lvlJc w:val="left"/>
      <w:pPr>
        <w:ind w:left="4152" w:hanging="360"/>
      </w:pPr>
      <w:rPr>
        <w:rFonts w:hint="default"/>
        <w:lang w:val="es-ES" w:eastAsia="en-US" w:bidi="ar-SA"/>
      </w:rPr>
    </w:lvl>
    <w:lvl w:ilvl="4" w:tplc="CA38821E">
      <w:numFmt w:val="bullet"/>
      <w:lvlText w:val="•"/>
      <w:lvlJc w:val="left"/>
      <w:pPr>
        <w:ind w:left="5036" w:hanging="360"/>
      </w:pPr>
      <w:rPr>
        <w:rFonts w:hint="default"/>
        <w:lang w:val="es-ES" w:eastAsia="en-US" w:bidi="ar-SA"/>
      </w:rPr>
    </w:lvl>
    <w:lvl w:ilvl="5" w:tplc="3B7A2602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698226C4">
      <w:numFmt w:val="bullet"/>
      <w:lvlText w:val="•"/>
      <w:lvlJc w:val="left"/>
      <w:pPr>
        <w:ind w:left="6804" w:hanging="360"/>
      </w:pPr>
      <w:rPr>
        <w:rFonts w:hint="default"/>
        <w:lang w:val="es-ES" w:eastAsia="en-US" w:bidi="ar-SA"/>
      </w:rPr>
    </w:lvl>
    <w:lvl w:ilvl="7" w:tplc="A7201566">
      <w:numFmt w:val="bullet"/>
      <w:lvlText w:val="•"/>
      <w:lvlJc w:val="left"/>
      <w:pPr>
        <w:ind w:left="7688" w:hanging="360"/>
      </w:pPr>
      <w:rPr>
        <w:rFonts w:hint="default"/>
        <w:lang w:val="es-ES" w:eastAsia="en-US" w:bidi="ar-SA"/>
      </w:rPr>
    </w:lvl>
    <w:lvl w:ilvl="8" w:tplc="2B1E6F4E">
      <w:numFmt w:val="bullet"/>
      <w:lvlText w:val="•"/>
      <w:lvlJc w:val="left"/>
      <w:pPr>
        <w:ind w:left="8572" w:hanging="360"/>
      </w:pPr>
      <w:rPr>
        <w:rFonts w:hint="default"/>
        <w:lang w:val="es-ES" w:eastAsia="en-US" w:bidi="ar-SA"/>
      </w:rPr>
    </w:lvl>
  </w:abstractNum>
  <w:abstractNum w:abstractNumId="5">
    <w:nsid w:val="7987053C"/>
    <w:multiLevelType w:val="hybridMultilevel"/>
    <w:tmpl w:val="DEE46F7E"/>
    <w:lvl w:ilvl="0" w:tplc="247047EE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FC"/>
    <w:rsid w:val="00046DEC"/>
    <w:rsid w:val="000473F1"/>
    <w:rsid w:val="00052B74"/>
    <w:rsid w:val="00060B63"/>
    <w:rsid w:val="00091DFE"/>
    <w:rsid w:val="000D3C8D"/>
    <w:rsid w:val="001100E1"/>
    <w:rsid w:val="00156D7C"/>
    <w:rsid w:val="001F51E0"/>
    <w:rsid w:val="002063DD"/>
    <w:rsid w:val="00256D3E"/>
    <w:rsid w:val="002C4A32"/>
    <w:rsid w:val="002D528D"/>
    <w:rsid w:val="002E406A"/>
    <w:rsid w:val="003065A0"/>
    <w:rsid w:val="00334BFC"/>
    <w:rsid w:val="00363EE1"/>
    <w:rsid w:val="003B1BB5"/>
    <w:rsid w:val="003C1F9F"/>
    <w:rsid w:val="003D12D7"/>
    <w:rsid w:val="003D2796"/>
    <w:rsid w:val="00403DEC"/>
    <w:rsid w:val="00544DF5"/>
    <w:rsid w:val="0054753E"/>
    <w:rsid w:val="005E269C"/>
    <w:rsid w:val="005F1936"/>
    <w:rsid w:val="006141F0"/>
    <w:rsid w:val="00652317"/>
    <w:rsid w:val="006D1EBE"/>
    <w:rsid w:val="00700EED"/>
    <w:rsid w:val="007060A4"/>
    <w:rsid w:val="00715B45"/>
    <w:rsid w:val="007219B5"/>
    <w:rsid w:val="007474A7"/>
    <w:rsid w:val="007B4713"/>
    <w:rsid w:val="0083683C"/>
    <w:rsid w:val="009123FC"/>
    <w:rsid w:val="00935E4F"/>
    <w:rsid w:val="00942579"/>
    <w:rsid w:val="00971F1A"/>
    <w:rsid w:val="009C0A06"/>
    <w:rsid w:val="009E5D7D"/>
    <w:rsid w:val="009F0202"/>
    <w:rsid w:val="00A6544A"/>
    <w:rsid w:val="00A65B9B"/>
    <w:rsid w:val="00AE78A6"/>
    <w:rsid w:val="00B41D20"/>
    <w:rsid w:val="00B45AF6"/>
    <w:rsid w:val="00B775CF"/>
    <w:rsid w:val="00B904FF"/>
    <w:rsid w:val="00B94B58"/>
    <w:rsid w:val="00CC3776"/>
    <w:rsid w:val="00CE231D"/>
    <w:rsid w:val="00CF26D3"/>
    <w:rsid w:val="00D819D3"/>
    <w:rsid w:val="00E224A4"/>
    <w:rsid w:val="00E92900"/>
    <w:rsid w:val="00E9636D"/>
    <w:rsid w:val="00EB262F"/>
    <w:rsid w:val="00F20119"/>
    <w:rsid w:val="00F83787"/>
    <w:rsid w:val="00FB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3C873-8C80-4A53-9863-8E829CC4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93"/>
      <w:ind w:left="1365" w:right="851" w:hanging="452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201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01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01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9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1136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61</cp:revision>
  <dcterms:created xsi:type="dcterms:W3CDTF">2024-06-05T23:44:00Z</dcterms:created>
  <dcterms:modified xsi:type="dcterms:W3CDTF">2024-06-10T19:47:00Z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2024-06-05T00:00:00Z</vt:filetime>
  </property>
</Properties>
</file>